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b/>
          <w:lang w:val="en-GB"/>
        </w:rPr>
      </w:pPr>
      <w:r>
        <w:rPr>
          <w:b/>
          <w:lang w:val="en-GB"/>
        </w:rPr>
      </w:r>
      <w:r>
        <w:rPr>
          <w:b/>
          <w:lang w:val="en-GB"/>
        </w:rPr>
      </w:r>
      <w:r>
        <w:rPr>
          <w:b/>
          <w:lang w:val="en-GB"/>
        </w:rPr>
      </w:r>
    </w:p>
    <w:p>
      <w:pPr>
        <w:jc w:val="center"/>
        <w:rPr>
          <w:b/>
        </w:rPr>
      </w:pPr>
      <w:r>
        <w:rPr>
          <w:b/>
        </w:rPr>
        <w:t xml:space="preserve">ТЕХНИЧЕСКОЕ ЗАДАНИЕ</w:t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</w:pPr>
      <w:r>
        <w:t xml:space="preserve">по выбору</w:t>
      </w:r>
      <w:r>
        <w:t xml:space="preserve"> подрядной организации </w:t>
      </w:r>
      <w:r>
        <w:t xml:space="preserve">на </w:t>
      </w:r>
      <w:r>
        <w:t xml:space="preserve">право </w:t>
      </w:r>
      <w:r>
        <w:t xml:space="preserve">заключени</w:t>
      </w:r>
      <w:r>
        <w:t xml:space="preserve">я</w:t>
      </w:r>
      <w:r>
        <w:t xml:space="preserve"> рамочного договора </w:t>
      </w:r>
      <w:r>
        <w:t xml:space="preserve">на выполнение работ, направленных на исполнение обязательств по объектам технологического присоединения к электрическим сетям АО «</w:t>
      </w:r>
      <w:r>
        <w:t xml:space="preserve">Россети</w:t>
      </w:r>
      <w:r>
        <w:t xml:space="preserve"> Янтарь» (Лот № </w:t>
      </w:r>
      <w:r>
        <w:t xml:space="preserve">2.2.</w:t>
      </w:r>
      <w:r>
        <w:t xml:space="preserve">16</w:t>
      </w:r>
      <w:r>
        <w:t xml:space="preserve"> </w:t>
      </w:r>
      <w:r>
        <w:t xml:space="preserve">р)</w:t>
      </w:r>
      <w:r/>
    </w:p>
    <w:p>
      <w:pPr>
        <w:jc w:val="center"/>
      </w:pPr>
      <w:r/>
      <w:r/>
    </w:p>
    <w:tbl>
      <w:tblPr>
        <w:tblW w:w="10378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155"/>
        <w:gridCol w:w="7655"/>
      </w:tblGrid>
      <w:tr>
        <w:tblPrEx/>
        <w:trPr/>
        <w:tc>
          <w:tcPr>
            <w:tcW w:w="568" w:type="dxa"/>
            <w:textDirection w:val="lrTb"/>
            <w:noWrap w:val="false"/>
          </w:tcPr>
          <w:p>
            <w:r>
              <w:t xml:space="preserve">1.</w:t>
            </w:r>
            <w:r/>
          </w:p>
        </w:tc>
        <w:tc>
          <w:tcPr>
            <w:tcW w:w="2155" w:type="dxa"/>
            <w:textDirection w:val="lrTb"/>
            <w:noWrap w:val="false"/>
          </w:tcPr>
          <w:p>
            <w:r>
              <w:t xml:space="preserve">Наименование объект</w:t>
            </w:r>
            <w:r>
              <w:t xml:space="preserve">а</w:t>
            </w:r>
            <w:r>
              <w:t xml:space="preserve"> </w:t>
            </w:r>
            <w:r/>
          </w:p>
          <w:p>
            <w:r/>
            <w:r/>
          </w:p>
        </w:tc>
        <w:tc>
          <w:tcPr>
            <w:tcW w:w="7655" w:type="dxa"/>
            <w:textDirection w:val="lrTb"/>
            <w:noWrap w:val="false"/>
          </w:tcPr>
          <w:p>
            <w:pPr>
              <w:jc w:val="both"/>
            </w:pPr>
            <w:r>
              <w:t xml:space="preserve">Право заключения </w:t>
            </w:r>
            <w:r>
              <w:t xml:space="preserve">рамочного </w:t>
            </w:r>
            <w:r>
              <w:t xml:space="preserve">договора на выполнение работ, направленных на исполнение обязательств по объектам технологического присоединения к электрическим сетям АО «</w:t>
            </w:r>
            <w:r>
              <w:t xml:space="preserve">Россети</w:t>
            </w:r>
            <w:r>
              <w:t xml:space="preserve"> Янтарь» (Лот № </w:t>
            </w:r>
            <w:r>
              <w:t xml:space="preserve">2.2.</w:t>
            </w:r>
            <w:r>
              <w:t xml:space="preserve">16</w:t>
            </w:r>
            <w:r>
              <w:t xml:space="preserve"> </w:t>
            </w:r>
            <w:r>
              <w:t xml:space="preserve">р)</w:t>
            </w:r>
            <w:r/>
          </w:p>
        </w:tc>
      </w:tr>
      <w:tr>
        <w:tblPrEx/>
        <w:trPr/>
        <w:tc>
          <w:tcPr>
            <w:tcW w:w="568" w:type="dxa"/>
            <w:textDirection w:val="lrTb"/>
            <w:noWrap w:val="false"/>
          </w:tcPr>
          <w:p>
            <w:r>
              <w:t xml:space="preserve">2.</w:t>
            </w:r>
            <w:r/>
          </w:p>
        </w:tc>
        <w:tc>
          <w:tcPr>
            <w:tcW w:w="2155" w:type="dxa"/>
            <w:textDirection w:val="lrTb"/>
            <w:noWrap w:val="false"/>
          </w:tcPr>
          <w:p>
            <w:r>
              <w:t xml:space="preserve">Вид строительства</w:t>
            </w:r>
            <w:r/>
          </w:p>
        </w:tc>
        <w:tc>
          <w:tcPr>
            <w:tcW w:w="7655" w:type="dxa"/>
            <w:textDirection w:val="lrTb"/>
            <w:noWrap w:val="false"/>
          </w:tcPr>
          <w:p>
            <w:pPr>
              <w:jc w:val="both"/>
              <w:rPr>
                <w:iCs/>
              </w:rPr>
            </w:pPr>
            <w:r>
              <w:rPr>
                <w:iCs/>
              </w:rPr>
              <w:t xml:space="preserve">Строительство</w:t>
            </w:r>
            <w:r>
              <w:rPr>
                <w:iCs/>
              </w:rPr>
              <w:t xml:space="preserve">, реконструкция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/>
        <w:tc>
          <w:tcPr>
            <w:tcW w:w="568" w:type="dxa"/>
            <w:textDirection w:val="lrTb"/>
            <w:noWrap w:val="false"/>
          </w:tcPr>
          <w:p>
            <w:r>
              <w:t xml:space="preserve">3</w:t>
            </w:r>
            <w:r>
              <w:t xml:space="preserve">.</w:t>
            </w:r>
            <w:r/>
          </w:p>
        </w:tc>
        <w:tc>
          <w:tcPr>
            <w:tcW w:w="2155" w:type="dxa"/>
            <w:textDirection w:val="lrTb"/>
            <w:noWrap w:val="false"/>
          </w:tcPr>
          <w:p>
            <w:r>
              <w:t xml:space="preserve">Местоположение объекта</w:t>
            </w:r>
            <w:r/>
          </w:p>
        </w:tc>
        <w:tc>
          <w:tcPr>
            <w:tcW w:w="7655" w:type="dxa"/>
            <w:textDirection w:val="lrTb"/>
            <w:noWrap w:val="false"/>
          </w:tcPr>
          <w:p>
            <w:pPr>
              <w:jc w:val="both"/>
              <w:rPr>
                <w:iCs/>
              </w:rPr>
            </w:pPr>
            <w:r>
              <w:rPr>
                <w:iCs/>
              </w:rPr>
              <w:t xml:space="preserve">Калининградская область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730"/>
        </w:trPr>
        <w:tc>
          <w:tcPr>
            <w:tcW w:w="568" w:type="dxa"/>
            <w:textDirection w:val="lrTb"/>
            <w:noWrap w:val="false"/>
          </w:tcPr>
          <w:p>
            <w:r>
              <w:t xml:space="preserve">4.</w:t>
            </w:r>
            <w:r/>
          </w:p>
        </w:tc>
        <w:tc>
          <w:tcPr>
            <w:tcW w:w="2155" w:type="dxa"/>
            <w:textDirection w:val="lrTb"/>
            <w:noWrap w:val="false"/>
          </w:tcPr>
          <w:p>
            <w:r>
              <w:t xml:space="preserve">Тип закупаемой продукции</w:t>
            </w:r>
            <w:r/>
          </w:p>
        </w:tc>
        <w:tc>
          <w:tcPr>
            <w:tcW w:w="7655" w:type="dxa"/>
            <w:textDirection w:val="lrTb"/>
            <w:noWrap w:val="false"/>
          </w:tcPr>
          <w:p>
            <w:pPr>
              <w:ind w:left="-58" w:firstLine="459"/>
              <w:jc w:val="both"/>
            </w:pPr>
            <w:r>
              <w:t xml:space="preserve">Выполнение инженерных изысканий, р</w:t>
            </w:r>
            <w:r>
              <w:t xml:space="preserve">азработка рабочей документации на основании утвержденного</w:t>
            </w:r>
            <w:bookmarkStart w:id="0" w:name="_GoBack"/>
            <w:r/>
            <w:bookmarkEnd w:id="0"/>
            <w:r>
              <w:t xml:space="preserve"> технического задания.</w:t>
            </w:r>
            <w:r/>
          </w:p>
          <w:p>
            <w:pPr>
              <w:ind w:left="-58" w:firstLine="459"/>
              <w:jc w:val="both"/>
            </w:pPr>
            <w:r>
              <w:t xml:space="preserve">Выполнение строительно-</w:t>
            </w:r>
            <w:r>
              <w:t xml:space="preserve">монтажных работ </w:t>
            </w:r>
            <w:r>
              <w:t xml:space="preserve">с поставкой оборудования </w:t>
            </w:r>
            <w:r>
              <w:t xml:space="preserve">в соответствии с утвержденной проектно-сметной документацией.</w:t>
            </w:r>
            <w:r/>
          </w:p>
          <w:p>
            <w:pPr>
              <w:jc w:val="both"/>
            </w:pPr>
            <w:r>
              <w:t xml:space="preserve">       </w:t>
            </w:r>
            <w:r>
              <w:t xml:space="preserve">Результат работ должен соответствовать требованиям: действующего законодательства; ГОСТ; ПУЭ; СНиП; иным нормативам, нормам, положениям, инс</w:t>
            </w:r>
            <w:r>
              <w:t xml:space="preserve">трукциям, правилам; указаниям, в том числе носящим рекомендательный характер, действующим на территории Российской Федерации; требованиям Заказчика, в том числе в части соответствия утвержденной Заказчиком проектной и рабочей документации; органов государс</w:t>
            </w:r>
            <w:r>
              <w:t xml:space="preserve">твенной власти и управления; органов местного самоуправления, уполномоченных контролировать, согласовывать, выдавать разрешения, и наделенных другими властными полномочиями в отношении создаваемого результата работ; иным требованиям, изложенным в Договоре.</w:t>
            </w:r>
            <w:r/>
          </w:p>
        </w:tc>
      </w:tr>
      <w:tr>
        <w:tblPrEx/>
        <w:trPr>
          <w:trHeight w:val="730"/>
        </w:trPr>
        <w:tc>
          <w:tcPr>
            <w:tcW w:w="568" w:type="dxa"/>
            <w:textDirection w:val="lrTb"/>
            <w:noWrap w:val="false"/>
          </w:tcPr>
          <w:p>
            <w:r>
              <w:t xml:space="preserve">5.</w:t>
            </w:r>
            <w:r/>
          </w:p>
        </w:tc>
        <w:tc>
          <w:tcPr>
            <w:tcW w:w="2155" w:type="dxa"/>
            <w:textDirection w:val="lrTb"/>
            <w:noWrap w:val="false"/>
          </w:tcPr>
          <w:p>
            <w:r>
              <w:t xml:space="preserve">Основные характеристики объекта строительства и требования к проведению работ</w:t>
            </w:r>
            <w:r/>
          </w:p>
        </w:tc>
        <w:tc>
          <w:tcPr>
            <w:tcW w:w="7655" w:type="dxa"/>
            <w:textDirection w:val="lrTb"/>
            <w:noWrap w:val="false"/>
          </w:tcPr>
          <w:p>
            <w:pPr>
              <w:ind w:firstLine="494"/>
              <w:jc w:val="both"/>
            </w:pPr>
            <w:r>
              <w:t xml:space="preserve">Работы выполнять в объеме расчёта предельной стоимости лота и </w:t>
            </w:r>
            <w:r>
              <w:t xml:space="preserve">технического задания</w:t>
            </w:r>
            <w:r>
              <w:t xml:space="preserve">.</w:t>
            </w:r>
            <w:r/>
          </w:p>
          <w:p>
            <w:pPr>
              <w:ind w:firstLine="494"/>
              <w:jc w:val="both"/>
            </w:pPr>
            <w:r>
              <w:t xml:space="preserve">Работы должны соответствовать проектным решениям, техническому заданию, требованиям технических регламентов.</w:t>
            </w:r>
            <w:r/>
          </w:p>
          <w:p>
            <w:pPr>
              <w:ind w:firstLine="494"/>
              <w:jc w:val="both"/>
            </w:pPr>
            <w:r>
              <w:t xml:space="preserve">Применяемые строительные материалы и изделия должны иметь сертификаты соответствия.</w:t>
            </w:r>
            <w:r/>
          </w:p>
          <w:p>
            <w:pPr>
              <w:ind w:firstLine="494"/>
              <w:jc w:val="both"/>
              <w:tabs>
                <w:tab w:val="left" w:pos="0" w:leader="none"/>
              </w:tabs>
            </w:pPr>
            <w:r>
              <w:t xml:space="preserve">Выполнение </w:t>
            </w:r>
            <w:r>
              <w:t xml:space="preserve">строительно-монтажных </w:t>
            </w:r>
            <w:r>
              <w:t xml:space="preserve">работ необходимо проводить в соответствии с утвержденной </w:t>
            </w:r>
            <w:r>
              <w:t xml:space="preserve">рабочей документацией</w:t>
            </w:r>
            <w:r>
              <w:t xml:space="preserve">.</w:t>
            </w:r>
            <w:r/>
          </w:p>
          <w:p>
            <w:pPr>
              <w:ind w:firstLine="494"/>
              <w:jc w:val="both"/>
            </w:pPr>
            <w:r>
              <w:t xml:space="preserve">Окончание работ необходимо оформлять составлением актов, согласованных с Заказчиком. </w:t>
            </w:r>
            <w:r/>
          </w:p>
        </w:tc>
      </w:tr>
      <w:tr>
        <w:tblPrEx/>
        <w:trPr>
          <w:trHeight w:val="730"/>
        </w:trPr>
        <w:tc>
          <w:tcPr>
            <w:tcW w:w="568" w:type="dxa"/>
            <w:textDirection w:val="lrTb"/>
            <w:noWrap w:val="false"/>
          </w:tcPr>
          <w:p>
            <w:pPr>
              <w:jc w:val="center"/>
            </w:pPr>
            <w:r>
              <w:t xml:space="preserve">6</w:t>
            </w:r>
            <w:r>
              <w:t xml:space="preserve">.</w:t>
            </w:r>
            <w:r/>
          </w:p>
        </w:tc>
        <w:tc>
          <w:tcPr>
            <w:tcW w:w="2155" w:type="dxa"/>
            <w:textDirection w:val="lrTb"/>
            <w:noWrap w:val="false"/>
          </w:tcPr>
          <w:p>
            <w:r>
              <w:t xml:space="preserve">Требования к привлечению субподрядных организаций</w:t>
            </w:r>
            <w:r/>
          </w:p>
        </w:tc>
        <w:tc>
          <w:tcPr>
            <w:tcW w:w="7655" w:type="dxa"/>
            <w:textDirection w:val="lrTb"/>
            <w:noWrap w:val="false"/>
          </w:tcPr>
          <w:p>
            <w:pPr>
              <w:ind w:firstLine="567"/>
              <w:jc w:val="both"/>
              <w:spacing w:before="14" w:after="14"/>
              <w:widowControl w:val="off"/>
            </w:pPr>
            <w:r>
              <w:t xml:space="preserve">Участник обязуется самостоятельно (без привлечения субподрядчиков) выполнить работы, общая стоимость которых должна составлять не менее </w:t>
            </w:r>
            <w:r>
              <w:t xml:space="preserve">75</w:t>
            </w:r>
            <w:r>
              <w:t xml:space="preserve">% от Цены Договора без учета стоимости материалов и оборудования, приобретаемых Подрядчиком.</w:t>
            </w:r>
            <w:r/>
          </w:p>
          <w:p>
            <w:pPr>
              <w:ind w:firstLine="567"/>
              <w:jc w:val="both"/>
              <w:spacing w:before="14" w:after="14"/>
              <w:widowControl w:val="off"/>
            </w:pPr>
            <w:r>
              <w:t xml:space="preserve">Подрядчик не вправе передавать/переуступать третьим лицам свои права и/</w:t>
            </w:r>
            <w:r>
              <w:t xml:space="preserve">или обязательства по настоящему Договору без предварительного письменного согласия Заказчика и в любом случае несет ответственность перед Заказчиком за результат выполненных работ согласованными с Заказчиком третьими лицами, за координацию их деятельности.</w:t>
            </w:r>
            <w:r/>
          </w:p>
          <w:p>
            <w:pPr>
              <w:ind w:firstLine="567"/>
              <w:jc w:val="both"/>
              <w:spacing w:before="14" w:after="14"/>
              <w:widowControl w:val="off"/>
            </w:pPr>
            <w:r>
              <w:t xml:space="preserve">Участник не вправе передавать/переуступать третьим лицам ни полностью, ни частично свои права и/или обязательства по Договору без предварительного письменного согласия Заказчика.</w:t>
            </w:r>
            <w:r/>
          </w:p>
          <w:p>
            <w:pPr>
              <w:ind w:firstLine="601"/>
              <w:jc w:val="both"/>
            </w:pPr>
            <w:r>
              <w:t xml:space="preserve">Участник должен доказать способность субподрядчика выполнить работы, на которые он планируется к привлечению (наличие у субподрядчика необходимых для выполнения работ материально-технических и кадровых</w:t>
            </w:r>
            <w:r>
              <w:t xml:space="preserve"> ресурсов), а также представить предварительное соглашение о намерениях между Участником и субподрядчиком, удостоверяющее согласие сторон заключить договор субподряда на выполнение работ в случае присуждения Участнику договора подряда на какой-либо объект.</w:t>
            </w:r>
            <w:r/>
          </w:p>
        </w:tc>
      </w:tr>
      <w:tr>
        <w:tblPrEx/>
        <w:trPr>
          <w:trHeight w:val="70"/>
        </w:trPr>
        <w:tc>
          <w:tcPr>
            <w:tcW w:w="568" w:type="dxa"/>
            <w:textDirection w:val="lrTb"/>
            <w:noWrap w:val="false"/>
          </w:tcPr>
          <w:p>
            <w:r>
              <w:t xml:space="preserve">7</w:t>
            </w:r>
            <w:r>
              <w:t xml:space="preserve">.</w:t>
            </w:r>
            <w:r/>
          </w:p>
        </w:tc>
        <w:tc>
          <w:tcPr>
            <w:tcW w:w="2155" w:type="dxa"/>
            <w:textDirection w:val="lrTb"/>
            <w:noWrap w:val="false"/>
          </w:tcPr>
          <w:p>
            <w:r>
              <w:t xml:space="preserve">Предельная максимальная</w:t>
            </w:r>
            <w:r/>
          </w:p>
          <w:p>
            <w:r>
              <w:t xml:space="preserve">цена лота</w:t>
            </w:r>
            <w:r/>
          </w:p>
        </w:tc>
        <w:tc>
          <w:tcPr>
            <w:tcW w:w="7655" w:type="dxa"/>
            <w:textDirection w:val="lrTb"/>
            <w:noWrap w:val="false"/>
          </w:tcPr>
          <w:p>
            <w:pPr>
              <w:ind w:firstLine="459"/>
              <w:jc w:val="both"/>
              <w:shd w:val="clear" w:color="auto" w:fill="ffffff"/>
              <w:widowControl w:val="off"/>
              <w:rPr>
                <w:b/>
                <w:bCs/>
              </w:rPr>
            </w:pPr>
            <w:r>
              <w:rPr>
                <w:bCs/>
              </w:rPr>
              <w:t xml:space="preserve">Цена рамочного договора – общая стоимость работ, выполняемых Подрядчиком по Заявкам, в течение действия рамочного дог</w:t>
            </w:r>
            <w:r>
              <w:rPr>
                <w:bCs/>
              </w:rPr>
              <w:t xml:space="preserve">овора не должна превышать 50 000 000</w:t>
            </w:r>
            <w:r>
              <w:rPr>
                <w:bCs/>
              </w:rPr>
              <w:t xml:space="preserve"> рублей</w:t>
            </w:r>
            <w:r>
              <w:rPr>
                <w:bCs/>
              </w:rPr>
              <w:t xml:space="preserve"> без учета </w:t>
            </w:r>
            <w:r>
              <w:rPr>
                <w:bCs/>
              </w:rPr>
              <w:t xml:space="preserve">НДС</w:t>
            </w:r>
            <w:r>
              <w:rPr>
                <w:bCs/>
              </w:rPr>
              <w:t xml:space="preserve"> (61 000 000 рублей с учетом НДС)</w:t>
            </w:r>
            <w:r>
              <w:rPr>
                <w:bCs/>
              </w:rPr>
              <w:t xml:space="preserve">.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pStyle w:val="885"/>
              <w:ind w:firstLine="459"/>
              <w:jc w:val="both"/>
              <w:spacing w:after="0" w:line="240" w:lineRule="auto"/>
              <w:widowControl w:val="off"/>
              <w:rPr>
                <w:rFonts w:ascii="Times New Roman" w:hAnsi="Times New Roman" w:cs="Times New Roman" w:eastAsiaTheme="minorHAnsi"/>
                <w:color w:val="auto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 w:eastAsiaTheme="minorHAnsi"/>
                <w:color w:val="auto"/>
                <w:sz w:val="24"/>
                <w:szCs w:val="24"/>
                <w:lang w:val="ru-RU" w:eastAsia="en-US"/>
              </w:rPr>
              <w:t xml:space="preserve">Предварительная цена работ, подлежащих выполнению по конкретной Заявке Заказчика, определяется на основании расчетов стоимости работ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/>
              </w:rPr>
              <w:t xml:space="preserve"> с применением коэффициента тендерного снижения </w:t>
            </w:r>
            <w:r>
              <w:rPr>
                <w:rFonts w:ascii="Times New Roman" w:hAnsi="Times New Roman" w:cs="Times New Roman" w:eastAsiaTheme="minorHAnsi"/>
                <w:color w:val="auto"/>
                <w:sz w:val="24"/>
                <w:szCs w:val="24"/>
                <w:lang w:val="ru-RU" w:eastAsia="en-US"/>
              </w:rPr>
              <w:t xml:space="preserve">к стоимости </w:t>
            </w:r>
            <w:r>
              <w:rPr>
                <w:rFonts w:ascii="Times New Roman" w:hAnsi="Times New Roman" w:cs="Times New Roman" w:eastAsiaTheme="minorHAnsi"/>
                <w:color w:val="auto"/>
                <w:sz w:val="24"/>
                <w:szCs w:val="24"/>
                <w:lang w:val="ru-RU" w:eastAsia="en-US"/>
              </w:rPr>
            </w:r>
            <w:r>
              <w:rPr>
                <w:rFonts w:ascii="Times New Roman" w:hAnsi="Times New Roman" w:cs="Times New Roman" w:eastAsiaTheme="minorHAnsi"/>
                <w:color w:val="auto"/>
                <w:sz w:val="24"/>
                <w:szCs w:val="24"/>
                <w:lang w:val="ru-RU" w:eastAsia="en-US"/>
              </w:rPr>
            </w:r>
          </w:p>
          <w:p>
            <w:pPr>
              <w:pStyle w:val="885"/>
              <w:ind w:firstLine="459"/>
              <w:jc w:val="both"/>
              <w:spacing w:after="0" w:line="240" w:lineRule="auto"/>
              <w:widowControl w:val="off"/>
              <w:rPr>
                <w:rFonts w:ascii="Times New Roman" w:hAnsi="Times New Roman" w:cs="Times New Roman" w:eastAsiaTheme="minorHAnsi"/>
                <w:color w:val="auto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 w:eastAsiaTheme="minorHAnsi"/>
                <w:color w:val="auto"/>
                <w:sz w:val="24"/>
                <w:szCs w:val="24"/>
                <w:lang w:val="ru-RU" w:eastAsia="en-US"/>
              </w:rPr>
              <w:t xml:space="preserve">Окончательная цена работ оп</w:t>
            </w:r>
            <w:r>
              <w:rPr>
                <w:rFonts w:ascii="Times New Roman" w:hAnsi="Times New Roman" w:cs="Times New Roman" w:eastAsiaTheme="minorHAnsi"/>
                <w:color w:val="auto"/>
                <w:sz w:val="24"/>
                <w:szCs w:val="24"/>
                <w:lang w:val="ru-RU" w:eastAsia="en-US"/>
              </w:rPr>
              <w:t xml:space="preserve">ределяется утвержденной Заказчиком по каждой Заявке сметной документацией в соответствии с видом и объемом работ, но не более цены Заявки, установленной расчетом стоимости работ, по указанным в Заявке видам работ, подлежащих выполнению по конкретной Заявке</w:t>
            </w:r>
            <w:r>
              <w:rPr>
                <w:rFonts w:ascii="Times New Roman" w:hAnsi="Times New Roman" w:cs="Times New Roman" w:eastAsiaTheme="minorHAnsi"/>
                <w:color w:val="auto"/>
                <w:sz w:val="24"/>
                <w:szCs w:val="24"/>
                <w:lang w:val="ru-RU" w:eastAsia="en-US"/>
              </w:rPr>
              <w:t xml:space="preserve">. </w:t>
            </w:r>
            <w:r>
              <w:rPr>
                <w:rFonts w:ascii="Times New Roman" w:hAnsi="Times New Roman" w:cs="Times New Roman" w:eastAsiaTheme="minorHAnsi"/>
                <w:color w:val="auto"/>
                <w:sz w:val="24"/>
                <w:szCs w:val="24"/>
                <w:lang w:val="ru-RU" w:eastAsia="en-US"/>
              </w:rPr>
            </w:r>
            <w:r>
              <w:rPr>
                <w:rFonts w:ascii="Times New Roman" w:hAnsi="Times New Roman" w:cs="Times New Roman" w:eastAsiaTheme="minorHAnsi"/>
                <w:color w:val="auto"/>
                <w:sz w:val="24"/>
                <w:szCs w:val="24"/>
                <w:lang w:val="ru-RU" w:eastAsia="en-US"/>
              </w:rPr>
            </w:r>
          </w:p>
          <w:p>
            <w:pPr>
              <w:pStyle w:val="885"/>
              <w:ind w:firstLine="459"/>
              <w:jc w:val="both"/>
              <w:spacing w:after="0" w:line="240" w:lineRule="auto"/>
              <w:widowControl w:val="off"/>
              <w:rPr>
                <w:rFonts w:ascii="Times New Roman" w:hAnsi="Times New Roman" w:cs="Times New Roman" w:eastAsiaTheme="minorHAnsi"/>
                <w:color w:val="auto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Указанная в Договоре стоимость работ является предельной.</w:t>
            </w:r>
            <w:r>
              <w:rPr>
                <w:rFonts w:ascii="Times New Roman" w:hAnsi="Times New Roman" w:cs="Times New Roman" w:eastAsiaTheme="minorHAnsi"/>
                <w:color w:val="auto"/>
                <w:sz w:val="24"/>
                <w:szCs w:val="24"/>
                <w:lang w:val="ru-RU" w:eastAsia="en-US"/>
              </w:rPr>
            </w:r>
            <w:r>
              <w:rPr>
                <w:rFonts w:ascii="Times New Roman" w:hAnsi="Times New Roman" w:cs="Times New Roman" w:eastAsiaTheme="minorHAnsi"/>
                <w:color w:val="auto"/>
                <w:sz w:val="24"/>
                <w:szCs w:val="24"/>
                <w:lang w:val="ru-RU" w:eastAsia="en-US"/>
              </w:rPr>
            </w:r>
          </w:p>
          <w:p>
            <w:pPr>
              <w:pStyle w:val="885"/>
              <w:ind w:firstLine="459"/>
              <w:jc w:val="both"/>
              <w:spacing w:after="0" w:line="240" w:lineRule="auto"/>
              <w:widowControl w:val="off"/>
              <w:rPr>
                <w:rFonts w:ascii="Times New Roman" w:hAnsi="Times New Roman" w:cs="Times New Roman" w:eastAsiaTheme="minorHAnsi"/>
                <w:color w:val="auto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 w:eastAsiaTheme="minorHAnsi"/>
                <w:color w:val="auto"/>
                <w:sz w:val="24"/>
                <w:szCs w:val="24"/>
                <w:lang w:val="ru-RU" w:eastAsia="en-US"/>
              </w:rPr>
              <w:t xml:space="preserve">Предварительная цена Заявки включает в себя стоимость всех работ, предусмотренных Техническим заданием. Окончательная цена Заявки включает в себя стоимость всех работ, предусмотренных разработанной и утвержденной проектно-сметной документацией.</w:t>
            </w:r>
            <w:r>
              <w:rPr>
                <w:rFonts w:ascii="Times New Roman" w:hAnsi="Times New Roman" w:cs="Times New Roman" w:eastAsiaTheme="minorHAnsi"/>
                <w:color w:val="auto"/>
                <w:sz w:val="24"/>
                <w:szCs w:val="24"/>
                <w:lang w:val="ru-RU" w:eastAsia="en-US"/>
              </w:rPr>
            </w:r>
            <w:r>
              <w:rPr>
                <w:rFonts w:ascii="Times New Roman" w:hAnsi="Times New Roman" w:cs="Times New Roman" w:eastAsiaTheme="minorHAnsi"/>
                <w:color w:val="auto"/>
                <w:sz w:val="24"/>
                <w:szCs w:val="24"/>
                <w:lang w:val="ru-RU" w:eastAsia="en-US"/>
              </w:rPr>
            </w:r>
          </w:p>
        </w:tc>
      </w:tr>
      <w:tr>
        <w:tblPrEx/>
        <w:trPr>
          <w:trHeight w:val="70"/>
        </w:trPr>
        <w:tc>
          <w:tcPr>
            <w:tcW w:w="568" w:type="dxa"/>
            <w:textDirection w:val="lrTb"/>
            <w:noWrap w:val="false"/>
          </w:tcPr>
          <w:p>
            <w:r>
              <w:t xml:space="preserve">8</w:t>
            </w:r>
            <w:r>
              <w:t xml:space="preserve">.</w:t>
            </w:r>
            <w:r/>
          </w:p>
        </w:tc>
        <w:tc>
          <w:tcPr>
            <w:tcW w:w="2155" w:type="dxa"/>
            <w:textDirection w:val="lrTb"/>
            <w:noWrap w:val="false"/>
          </w:tcPr>
          <w:p>
            <w:pPr>
              <w:rPr>
                <w:color w:val="92d050"/>
              </w:rPr>
            </w:pPr>
            <w:r>
              <w:t xml:space="preserve">Порядок и условия оплаты за выполненные работы по типовому Договору</w:t>
            </w:r>
            <w:r>
              <w:rPr>
                <w:color w:val="92d050"/>
              </w:rPr>
            </w:r>
            <w:r>
              <w:rPr>
                <w:color w:val="92d050"/>
              </w:rPr>
            </w:r>
          </w:p>
        </w:tc>
        <w:tc>
          <w:tcPr>
            <w:tcW w:w="7655" w:type="dxa"/>
            <w:textDirection w:val="lrTb"/>
            <w:noWrap w:val="false"/>
          </w:tcPr>
          <w:p>
            <w:pPr>
              <w:jc w:val="both"/>
            </w:pPr>
            <w:r>
              <w:t xml:space="preserve">В соответствии с договором</w:t>
            </w:r>
            <w:r/>
          </w:p>
        </w:tc>
      </w:tr>
      <w:tr>
        <w:tblPrEx/>
        <w:trPr>
          <w:trHeight w:val="844"/>
        </w:trPr>
        <w:tc>
          <w:tcPr>
            <w:tcW w:w="568" w:type="dxa"/>
            <w:textDirection w:val="lrTb"/>
            <w:noWrap w:val="false"/>
          </w:tcPr>
          <w:p>
            <w:pPr>
              <w:ind w:left="34"/>
              <w:jc w:val="center"/>
            </w:pPr>
            <w:r>
              <w:t xml:space="preserve">9</w:t>
            </w:r>
            <w:r>
              <w:t xml:space="preserve">.</w:t>
            </w:r>
            <w:r/>
          </w:p>
        </w:tc>
        <w:tc>
          <w:tcPr>
            <w:tcW w:w="2155" w:type="dxa"/>
            <w:textDirection w:val="lrTb"/>
            <w:noWrap w:val="false"/>
          </w:tcPr>
          <w:p>
            <w:r>
              <w:t xml:space="preserve">Правила приемки и </w:t>
            </w:r>
            <w:r/>
          </w:p>
          <w:p>
            <w:r>
              <w:t xml:space="preserve">контроля работ</w:t>
            </w:r>
            <w:r/>
          </w:p>
        </w:tc>
        <w:tc>
          <w:tcPr>
            <w:tcW w:w="7655" w:type="dxa"/>
            <w:textDirection w:val="lrTb"/>
            <w:noWrap w:val="false"/>
          </w:tcPr>
          <w:p>
            <w:pPr>
              <w:jc w:val="both"/>
              <w:rPr>
                <w:bCs/>
              </w:rPr>
            </w:pPr>
            <w:r>
              <w:t xml:space="preserve">       Приемка выполненных работ по каждому объекту производится в соответствии с условиями подписанных Заявок</w:t>
            </w:r>
            <w:r>
              <w:rPr>
                <w:bCs/>
              </w:rPr>
              <w:t xml:space="preserve">, </w:t>
            </w:r>
            <w:r>
              <w:rPr>
                <w:color w:val="000000"/>
                <w:lang w:eastAsia="zh-CN"/>
              </w:rPr>
              <w:t xml:space="preserve">являющихся приложением к рамочному договору.</w:t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/>
        <w:trPr/>
        <w:tc>
          <w:tcPr>
            <w:tcW w:w="568" w:type="dxa"/>
            <w:textDirection w:val="lrTb"/>
            <w:noWrap w:val="false"/>
          </w:tcPr>
          <w:p>
            <w:pPr>
              <w:ind w:left="34"/>
              <w:jc w:val="center"/>
            </w:pPr>
            <w:r>
              <w:t xml:space="preserve">1</w:t>
            </w:r>
            <w:r>
              <w:t xml:space="preserve">0</w:t>
            </w:r>
            <w:r>
              <w:t xml:space="preserve">.</w:t>
            </w:r>
            <w:r/>
          </w:p>
        </w:tc>
        <w:tc>
          <w:tcPr>
            <w:tcW w:w="2155" w:type="dxa"/>
            <w:textDirection w:val="lrTb"/>
            <w:noWrap w:val="false"/>
          </w:tcPr>
          <w:p>
            <w:r>
              <w:t xml:space="preserve">Требуемые сроки выполнения работ</w:t>
            </w:r>
            <w:r/>
          </w:p>
        </w:tc>
        <w:tc>
          <w:tcPr>
            <w:shd w:val="clear" w:color="auto" w:fill="auto"/>
            <w:tcW w:w="7655" w:type="dxa"/>
            <w:textDirection w:val="lrTb"/>
            <w:noWrap w:val="false"/>
          </w:tcPr>
          <w:p>
            <w:pPr>
              <w:ind w:firstLine="459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Период действия заключаемого рамочного договора составляет </w:t>
            </w:r>
            <w:r>
              <w:rPr>
                <w:lang w:eastAsia="zh-CN"/>
              </w:rPr>
              <w:t xml:space="preserve">1</w:t>
            </w:r>
            <w:r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 xml:space="preserve">один</w:t>
            </w:r>
            <w:r>
              <w:rPr>
                <w:lang w:eastAsia="zh-CN"/>
              </w:rPr>
              <w:t xml:space="preserve">) </w:t>
            </w:r>
            <w:r>
              <w:rPr>
                <w:lang w:eastAsia="zh-CN"/>
              </w:rPr>
              <w:t xml:space="preserve">год</w:t>
            </w:r>
            <w:r>
              <w:rPr>
                <w:lang w:eastAsia="zh-CN"/>
              </w:rPr>
              <w:t xml:space="preserve"> с момента его заключения.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ind w:firstLine="459"/>
              <w:jc w:val="both"/>
            </w:pPr>
            <w:r>
              <w:rPr>
                <w:lang w:eastAsia="zh-CN"/>
              </w:rPr>
              <w:t xml:space="preserve">Сроки начала и окончания работ по каждому объекту определяется в Заявках, являющихся приложением к рамочному договору.</w:t>
            </w:r>
            <w:r/>
          </w:p>
        </w:tc>
      </w:tr>
      <w:tr>
        <w:tblPrEx/>
        <w:trPr/>
        <w:tc>
          <w:tcPr>
            <w:tcW w:w="568" w:type="dxa"/>
            <w:textDirection w:val="lrTb"/>
            <w:noWrap w:val="false"/>
          </w:tcPr>
          <w:p>
            <w:pPr>
              <w:ind w:left="34"/>
              <w:jc w:val="center"/>
            </w:pPr>
            <w:r>
              <w:t xml:space="preserve">1</w:t>
            </w:r>
            <w:r>
              <w:t xml:space="preserve">1</w:t>
            </w:r>
            <w:r>
              <w:t xml:space="preserve">.</w:t>
            </w:r>
            <w:r/>
          </w:p>
        </w:tc>
        <w:tc>
          <w:tcPr>
            <w:tcW w:w="2155" w:type="dxa"/>
            <w:textDirection w:val="lrTb"/>
            <w:noWrap w:val="false"/>
          </w:tcPr>
          <w:p>
            <w:r>
              <w:t xml:space="preserve">Качество выполнения работ</w:t>
            </w:r>
            <w:r/>
          </w:p>
        </w:tc>
        <w:tc>
          <w:tcPr>
            <w:shd w:val="clear" w:color="auto" w:fill="auto"/>
            <w:tcW w:w="7655" w:type="dxa"/>
            <w:textDirection w:val="lrTb"/>
            <w:noWrap w:val="false"/>
          </w:tcPr>
          <w:p>
            <w:pPr>
              <w:ind w:firstLine="459"/>
              <w:jc w:val="both"/>
              <w:spacing w:before="14" w:after="14" w:line="250" w:lineRule="auto"/>
              <w:shd w:val="clear" w:color="auto" w:fill="ffffff"/>
              <w:widowControl w:val="off"/>
            </w:pPr>
            <w:r>
              <w:rPr>
                <w:lang w:eastAsia="zh-CN"/>
              </w:rPr>
              <w:t xml:space="preserve">Участник должен предоставлять гарантию на выполненные строительно-монтажные и пусконаладочные работы в течение 36 (тридцати шести) месяцев, гарантия на оборудование должн</w:t>
            </w:r>
            <w:r>
              <w:rPr>
                <w:lang w:eastAsia="zh-CN"/>
              </w:rPr>
              <w:t xml:space="preserve">а распространяться не менее чем на 60 (шестьдесят) месяцев. Время начала исчисления гарантийного срока – с момента ввода объекта в эксплуатацию. Для подтверждения соответствия данным критериям необходимо представить гарантийное письмо в произвольной форме.</w:t>
            </w:r>
            <w:r/>
          </w:p>
        </w:tc>
      </w:tr>
    </w:tbl>
    <w:p>
      <w:pPr>
        <w:jc w:val="center"/>
      </w:pPr>
      <w:r/>
      <w:r/>
    </w:p>
    <w:p>
      <w:pPr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rPr>
          <w:b/>
          <w:i/>
        </w:rPr>
      </w:pPr>
      <w:r>
        <w:rPr>
          <w:b/>
          <w:i/>
        </w:rPr>
      </w:r>
      <w:r>
        <w:rPr>
          <w:b/>
          <w:i/>
        </w:rPr>
      </w:r>
      <w:r>
        <w:rPr>
          <w:b/>
          <w:i/>
        </w:rPr>
      </w:r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Заместитель начальника управления-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начальник отдела по строительству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  <w:t xml:space="preserve">объектов льготной категории                                                                           Л.В. Якушева</w:t>
      </w:r>
      <w:r>
        <w:rPr>
          <w:sz w:val="26"/>
          <w:szCs w:val="26"/>
        </w:rPr>
      </w:r>
      <w:r>
        <w:rPr>
          <w:sz w:val="26"/>
          <w:szCs w:val="26"/>
        </w:rPr>
      </w:r>
    </w:p>
    <w:sectPr>
      <w:footnotePr/>
      <w:endnotePr/>
      <w:type w:val="nextPage"/>
      <w:pgSz w:w="11906" w:h="16838" w:orient="portrait"/>
      <w:pgMar w:top="851" w:right="851" w:bottom="993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Calibri">
    <w:panose1 w:val="020F0502020204030204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Arial Unicode MS">
    <w:panose1 w:val="020B060402020202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900" w:hanging="360"/>
        <w:tabs>
          <w:tab w:val="num" w:pos="90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1620" w:hanging="180"/>
        <w:tabs>
          <w:tab w:val="num" w:pos="162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340" w:hanging="360"/>
        <w:tabs>
          <w:tab w:val="num" w:pos="234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060" w:hanging="360"/>
        <w:tabs>
          <w:tab w:val="num" w:pos="306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3780" w:hanging="180"/>
        <w:tabs>
          <w:tab w:val="num" w:pos="378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4500" w:hanging="360"/>
        <w:tabs>
          <w:tab w:val="num" w:pos="450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220" w:hanging="360"/>
        <w:tabs>
          <w:tab w:val="num" w:pos="522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5940" w:hanging="180"/>
        <w:tabs>
          <w:tab w:val="num" w:pos="5940" w:leader="none"/>
        </w:tabs>
      </w:pPr>
      <w:rPr>
        <w:rFonts w:cs="Times New Roman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"/>
      <w:lvlJc w:val="left"/>
      <w:pPr>
        <w:ind w:left="1440" w:hanging="360"/>
      </w:pPr>
      <w:rPr>
        <w:rFonts w:hint="default" w:ascii="Symbol" w:hAnsi="Symbol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51" w:hanging="37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5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7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9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1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3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5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7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96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  <w:tabs>
          <w:tab w:val="num" w:pos="108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  <w:tabs>
          <w:tab w:val="num" w:pos="180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  <w:tabs>
          <w:tab w:val="num" w:pos="252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  <w:tabs>
          <w:tab w:val="num" w:pos="324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  <w:tabs>
          <w:tab w:val="num" w:pos="396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  <w:tabs>
          <w:tab w:val="num" w:pos="468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  <w:tabs>
          <w:tab w:val="num" w:pos="540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  <w:tabs>
          <w:tab w:val="num" w:pos="6120" w:leader="none"/>
        </w:tabs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4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6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8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0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2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4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6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8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08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900" w:hanging="360"/>
        <w:tabs>
          <w:tab w:val="num" w:pos="90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1620" w:hanging="180"/>
        <w:tabs>
          <w:tab w:val="num" w:pos="162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340" w:hanging="360"/>
        <w:tabs>
          <w:tab w:val="num" w:pos="234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060" w:hanging="360"/>
        <w:tabs>
          <w:tab w:val="num" w:pos="306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3780" w:hanging="180"/>
        <w:tabs>
          <w:tab w:val="num" w:pos="378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4500" w:hanging="360"/>
        <w:tabs>
          <w:tab w:val="num" w:pos="450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220" w:hanging="360"/>
        <w:tabs>
          <w:tab w:val="num" w:pos="522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5940" w:hanging="180"/>
        <w:tabs>
          <w:tab w:val="num" w:pos="5940" w:leader="none"/>
        </w:tabs>
      </w:pPr>
      <w:rPr>
        <w:rFonts w:cs="Times New Roman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85" w:hanging="360"/>
      </w:pPr>
      <w:rPr>
        <w:rFonts w:hint="default" w:ascii="Symbol" w:hAnsi="Symbol"/>
        <w:b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4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6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8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0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2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4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6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8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08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59" w:hanging="360"/>
        <w:tabs>
          <w:tab w:val="num" w:pos="1259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979" w:hanging="360"/>
        <w:tabs>
          <w:tab w:val="num" w:pos="1979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699" w:hanging="360"/>
        <w:tabs>
          <w:tab w:val="num" w:pos="2699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19" w:hanging="360"/>
        <w:tabs>
          <w:tab w:val="num" w:pos="3419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39" w:hanging="360"/>
        <w:tabs>
          <w:tab w:val="num" w:pos="4139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59" w:hanging="360"/>
        <w:tabs>
          <w:tab w:val="num" w:pos="4859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579" w:hanging="360"/>
        <w:tabs>
          <w:tab w:val="num" w:pos="5579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99" w:hanging="360"/>
        <w:tabs>
          <w:tab w:val="num" w:pos="6299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19" w:hanging="360"/>
        <w:tabs>
          <w:tab w:val="num" w:pos="7019" w:leader="none"/>
        </w:tabs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900" w:hanging="360"/>
        <w:tabs>
          <w:tab w:val="num" w:pos="90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1620" w:hanging="180"/>
        <w:tabs>
          <w:tab w:val="num" w:pos="162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340" w:hanging="360"/>
        <w:tabs>
          <w:tab w:val="num" w:pos="234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060" w:hanging="360"/>
        <w:tabs>
          <w:tab w:val="num" w:pos="306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3780" w:hanging="180"/>
        <w:tabs>
          <w:tab w:val="num" w:pos="378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4500" w:hanging="360"/>
        <w:tabs>
          <w:tab w:val="num" w:pos="450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220" w:hanging="360"/>
        <w:tabs>
          <w:tab w:val="num" w:pos="522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5940" w:hanging="180"/>
        <w:tabs>
          <w:tab w:val="num" w:pos="5940" w:leader="none"/>
        </w:tabs>
      </w:pPr>
      <w:rPr>
        <w:rFonts w:cs="Times New Roman"/>
      </w:rPr>
    </w:lvl>
  </w:abstractNum>
  <w:abstractNum w:abstractNumId="23">
    <w:multiLevelType w:val="hybridMultilevel"/>
    <w:lvl w:ilvl="0">
      <w:start w:val="1"/>
      <w:numFmt w:val="decimal"/>
      <w:pStyle w:val="909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836" w:hanging="576"/>
        <w:tabs>
          <w:tab w:val="num" w:pos="1836" w:leader="none"/>
        </w:tabs>
      </w:pPr>
      <w:rPr>
        <w:rFonts w:hint="default"/>
      </w:rPr>
    </w:lvl>
    <w:lvl w:ilvl="2">
      <w:start w:val="1"/>
      <w:numFmt w:val="decimal"/>
      <w:pStyle w:val="910"/>
      <w:isLgl w:val="false"/>
      <w:suff w:val="tab"/>
      <w:lvlText w:val="%1.%2.%3"/>
      <w:lvlJc w:val="left"/>
      <w:pPr>
        <w:ind w:left="1080"/>
        <w:tabs>
          <w:tab w:val="num" w:pos="130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cs="Times New Roman"/>
      </w:rPr>
    </w:lvl>
    <w:lvl w:ilvl="1">
      <w:start w:val="1"/>
      <w:numFmt w:val="bullet"/>
      <w:isLgl w:val="false"/>
      <w:suff w:val="tab"/>
      <w:lvlText w:val="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num w:numId="1">
    <w:abstractNumId w:val="26"/>
  </w:num>
  <w:num w:numId="2">
    <w:abstractNumId w:val="2"/>
  </w:num>
  <w:num w:numId="3">
    <w:abstractNumId w:val="6"/>
  </w:num>
  <w:num w:numId="4">
    <w:abstractNumId w:val="20"/>
  </w:num>
  <w:num w:numId="5">
    <w:abstractNumId w:val="7"/>
  </w:num>
  <w:num w:numId="6">
    <w:abstractNumId w:val="1"/>
  </w:num>
  <w:num w:numId="7">
    <w:abstractNumId w:val="22"/>
  </w:num>
  <w:num w:numId="8">
    <w:abstractNumId w:val="21"/>
  </w:num>
  <w:num w:numId="9">
    <w:abstractNumId w:val="10"/>
  </w:num>
  <w:num w:numId="10">
    <w:abstractNumId w:val="4"/>
  </w:num>
  <w:num w:numId="11">
    <w:abstractNumId w:val="24"/>
  </w:num>
  <w:num w:numId="12">
    <w:abstractNumId w:val="27"/>
  </w:num>
  <w:num w:numId="13">
    <w:abstractNumId w:val="3"/>
  </w:num>
  <w:num w:numId="14">
    <w:abstractNumId w:val="15"/>
  </w:num>
  <w:num w:numId="15">
    <w:abstractNumId w:val="13"/>
  </w:num>
  <w:num w:numId="16">
    <w:abstractNumId w:val="25"/>
  </w:num>
  <w:num w:numId="17">
    <w:abstractNumId w:val="16"/>
  </w:num>
  <w:num w:numId="18">
    <w:abstractNumId w:val="5"/>
  </w:num>
  <w:num w:numId="19">
    <w:abstractNumId w:val="0"/>
  </w:num>
  <w:num w:numId="20">
    <w:abstractNumId w:val="12"/>
  </w:num>
  <w:num w:numId="21">
    <w:abstractNumId w:val="9"/>
  </w:num>
  <w:num w:numId="22">
    <w:abstractNumId w:val="17"/>
  </w:num>
  <w:num w:numId="23">
    <w:abstractNumId w:val="14"/>
  </w:num>
  <w:num w:numId="24">
    <w:abstractNumId w:val="23"/>
  </w:num>
  <w:num w:numId="25">
    <w:abstractNumId w:val="18"/>
  </w:num>
  <w:num w:numId="26">
    <w:abstractNumId w:val="8"/>
  </w:num>
  <w:num w:numId="27">
    <w:abstractNumId w:val="19"/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sz w:val="22"/>
        <w:szCs w:val="22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11">
    <w:name w:val="Heading 1 Char"/>
    <w:basedOn w:val="886"/>
    <w:link w:val="885"/>
    <w:uiPriority w:val="9"/>
    <w:rPr>
      <w:rFonts w:ascii="Arial" w:hAnsi="Arial" w:eastAsia="Arial" w:cs="Arial"/>
      <w:sz w:val="40"/>
      <w:szCs w:val="40"/>
    </w:rPr>
  </w:style>
  <w:style w:type="paragraph" w:styleId="712">
    <w:name w:val="Heading 2"/>
    <w:basedOn w:val="884"/>
    <w:next w:val="884"/>
    <w:link w:val="71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13">
    <w:name w:val="Heading 2 Char"/>
    <w:basedOn w:val="886"/>
    <w:link w:val="712"/>
    <w:uiPriority w:val="9"/>
    <w:rPr>
      <w:rFonts w:ascii="Arial" w:hAnsi="Arial" w:eastAsia="Arial" w:cs="Arial"/>
      <w:sz w:val="34"/>
    </w:rPr>
  </w:style>
  <w:style w:type="paragraph" w:styleId="714">
    <w:name w:val="Heading 3"/>
    <w:basedOn w:val="884"/>
    <w:next w:val="884"/>
    <w:link w:val="71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15">
    <w:name w:val="Heading 3 Char"/>
    <w:basedOn w:val="886"/>
    <w:link w:val="714"/>
    <w:uiPriority w:val="9"/>
    <w:rPr>
      <w:rFonts w:ascii="Arial" w:hAnsi="Arial" w:eastAsia="Arial" w:cs="Arial"/>
      <w:sz w:val="30"/>
      <w:szCs w:val="30"/>
    </w:rPr>
  </w:style>
  <w:style w:type="paragraph" w:styleId="716">
    <w:name w:val="Heading 4"/>
    <w:basedOn w:val="884"/>
    <w:next w:val="884"/>
    <w:link w:val="71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17">
    <w:name w:val="Heading 4 Char"/>
    <w:basedOn w:val="886"/>
    <w:link w:val="716"/>
    <w:uiPriority w:val="9"/>
    <w:rPr>
      <w:rFonts w:ascii="Arial" w:hAnsi="Arial" w:eastAsia="Arial" w:cs="Arial"/>
      <w:b/>
      <w:bCs/>
      <w:sz w:val="26"/>
      <w:szCs w:val="26"/>
    </w:rPr>
  </w:style>
  <w:style w:type="paragraph" w:styleId="718">
    <w:name w:val="Heading 5"/>
    <w:basedOn w:val="884"/>
    <w:next w:val="884"/>
    <w:link w:val="71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19">
    <w:name w:val="Heading 5 Char"/>
    <w:basedOn w:val="886"/>
    <w:link w:val="718"/>
    <w:uiPriority w:val="9"/>
    <w:rPr>
      <w:rFonts w:ascii="Arial" w:hAnsi="Arial" w:eastAsia="Arial" w:cs="Arial"/>
      <w:b/>
      <w:bCs/>
      <w:sz w:val="24"/>
      <w:szCs w:val="24"/>
    </w:rPr>
  </w:style>
  <w:style w:type="paragraph" w:styleId="720">
    <w:name w:val="Heading 6"/>
    <w:basedOn w:val="884"/>
    <w:next w:val="884"/>
    <w:link w:val="72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21">
    <w:name w:val="Heading 6 Char"/>
    <w:basedOn w:val="886"/>
    <w:link w:val="720"/>
    <w:uiPriority w:val="9"/>
    <w:rPr>
      <w:rFonts w:ascii="Arial" w:hAnsi="Arial" w:eastAsia="Arial" w:cs="Arial"/>
      <w:b/>
      <w:bCs/>
      <w:sz w:val="22"/>
      <w:szCs w:val="22"/>
    </w:rPr>
  </w:style>
  <w:style w:type="paragraph" w:styleId="722">
    <w:name w:val="Heading 7"/>
    <w:basedOn w:val="884"/>
    <w:next w:val="884"/>
    <w:link w:val="72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23">
    <w:name w:val="Heading 7 Char"/>
    <w:basedOn w:val="886"/>
    <w:link w:val="72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24">
    <w:name w:val="Heading 8"/>
    <w:basedOn w:val="884"/>
    <w:next w:val="884"/>
    <w:link w:val="72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25">
    <w:name w:val="Heading 8 Char"/>
    <w:basedOn w:val="886"/>
    <w:link w:val="724"/>
    <w:uiPriority w:val="9"/>
    <w:rPr>
      <w:rFonts w:ascii="Arial" w:hAnsi="Arial" w:eastAsia="Arial" w:cs="Arial"/>
      <w:i/>
      <w:iCs/>
      <w:sz w:val="22"/>
      <w:szCs w:val="22"/>
    </w:rPr>
  </w:style>
  <w:style w:type="paragraph" w:styleId="726">
    <w:name w:val="Heading 9"/>
    <w:basedOn w:val="884"/>
    <w:next w:val="884"/>
    <w:link w:val="72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7">
    <w:name w:val="Heading 9 Char"/>
    <w:basedOn w:val="886"/>
    <w:link w:val="726"/>
    <w:uiPriority w:val="9"/>
    <w:rPr>
      <w:rFonts w:ascii="Arial" w:hAnsi="Arial" w:eastAsia="Arial" w:cs="Arial"/>
      <w:i/>
      <w:iCs/>
      <w:sz w:val="21"/>
      <w:szCs w:val="21"/>
    </w:rPr>
  </w:style>
  <w:style w:type="paragraph" w:styleId="728">
    <w:name w:val="Title"/>
    <w:basedOn w:val="884"/>
    <w:next w:val="884"/>
    <w:link w:val="72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29">
    <w:name w:val="Title Char"/>
    <w:basedOn w:val="886"/>
    <w:link w:val="728"/>
    <w:uiPriority w:val="10"/>
    <w:rPr>
      <w:sz w:val="48"/>
      <w:szCs w:val="48"/>
    </w:rPr>
  </w:style>
  <w:style w:type="paragraph" w:styleId="730">
    <w:name w:val="Subtitle"/>
    <w:basedOn w:val="884"/>
    <w:next w:val="884"/>
    <w:link w:val="731"/>
    <w:uiPriority w:val="11"/>
    <w:qFormat/>
    <w:pPr>
      <w:spacing w:before="200" w:after="200"/>
    </w:pPr>
    <w:rPr>
      <w:sz w:val="24"/>
      <w:szCs w:val="24"/>
    </w:rPr>
  </w:style>
  <w:style w:type="character" w:styleId="731">
    <w:name w:val="Subtitle Char"/>
    <w:basedOn w:val="886"/>
    <w:link w:val="730"/>
    <w:uiPriority w:val="11"/>
    <w:rPr>
      <w:sz w:val="24"/>
      <w:szCs w:val="24"/>
    </w:rPr>
  </w:style>
  <w:style w:type="paragraph" w:styleId="732">
    <w:name w:val="Quote"/>
    <w:basedOn w:val="884"/>
    <w:next w:val="884"/>
    <w:link w:val="733"/>
    <w:uiPriority w:val="29"/>
    <w:qFormat/>
    <w:pPr>
      <w:ind w:left="720" w:right="720"/>
    </w:pPr>
    <w:rPr>
      <w:i/>
    </w:rPr>
  </w:style>
  <w:style w:type="character" w:styleId="733">
    <w:name w:val="Quote Char"/>
    <w:link w:val="732"/>
    <w:uiPriority w:val="29"/>
    <w:rPr>
      <w:i/>
    </w:rPr>
  </w:style>
  <w:style w:type="paragraph" w:styleId="734">
    <w:name w:val="Intense Quote"/>
    <w:basedOn w:val="884"/>
    <w:next w:val="884"/>
    <w:link w:val="73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35">
    <w:name w:val="Intense Quote Char"/>
    <w:link w:val="734"/>
    <w:uiPriority w:val="30"/>
    <w:rPr>
      <w:i/>
    </w:rPr>
  </w:style>
  <w:style w:type="paragraph" w:styleId="736">
    <w:name w:val="Header"/>
    <w:basedOn w:val="884"/>
    <w:link w:val="73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37">
    <w:name w:val="Header Char"/>
    <w:basedOn w:val="886"/>
    <w:link w:val="736"/>
    <w:uiPriority w:val="99"/>
  </w:style>
  <w:style w:type="paragraph" w:styleId="738">
    <w:name w:val="Footer"/>
    <w:basedOn w:val="884"/>
    <w:link w:val="73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39">
    <w:name w:val="Footer Char"/>
    <w:basedOn w:val="886"/>
    <w:link w:val="738"/>
    <w:uiPriority w:val="99"/>
  </w:style>
  <w:style w:type="paragraph" w:styleId="740">
    <w:name w:val="Caption"/>
    <w:basedOn w:val="884"/>
    <w:next w:val="884"/>
    <w:link w:val="74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41">
    <w:name w:val="Caption Char"/>
    <w:basedOn w:val="886"/>
    <w:link w:val="740"/>
    <w:uiPriority w:val="35"/>
    <w:rPr>
      <w:b/>
      <w:bCs/>
      <w:color w:val="4f81bd" w:themeColor="accent1"/>
      <w:sz w:val="18"/>
      <w:szCs w:val="18"/>
    </w:rPr>
  </w:style>
  <w:style w:type="table" w:styleId="742">
    <w:name w:val="Table Grid Light"/>
    <w:basedOn w:val="88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3">
    <w:name w:val="Plain Table 1"/>
    <w:basedOn w:val="88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4">
    <w:name w:val="Plain Table 2"/>
    <w:basedOn w:val="88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5">
    <w:name w:val="Plain Table 3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6">
    <w:name w:val="Plain Table 4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Plain Table 5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8">
    <w:name w:val="Grid Table 1 Light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Grid Table 1 Light - Accent 1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Grid Table 1 Light - Accent 2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Grid Table 1 Light - Accent 3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Grid Table 1 Light - Accent 4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Grid Table 1 Light - Accent 5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Grid Table 1 Light - Accent 6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Grid Table 2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2 - Accent 1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2 - Accent 2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2 - Accent 3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2 - Accent 4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2 - Accent 5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2 - Accent 6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3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3 - Accent 1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3 - Accent 2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3 - Accent 3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3 - Accent 4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3 - Accent 5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3 - Accent 6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4"/>
    <w:basedOn w:val="88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0">
    <w:name w:val="Grid Table 4 - Accent 1"/>
    <w:basedOn w:val="88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1">
    <w:name w:val="Grid Table 4 - Accent 2"/>
    <w:basedOn w:val="88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72">
    <w:name w:val="Grid Table 4 - Accent 3"/>
    <w:basedOn w:val="88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73">
    <w:name w:val="Grid Table 4 - Accent 4"/>
    <w:basedOn w:val="88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74">
    <w:name w:val="Grid Table 4 - Accent 5"/>
    <w:basedOn w:val="88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75">
    <w:name w:val="Grid Table 4 - Accent 6"/>
    <w:basedOn w:val="88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76">
    <w:name w:val="Grid Table 5 Dark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77">
    <w:name w:val="Grid Table 5 Dark- Accent 1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78">
    <w:name w:val="Grid Table 5 Dark - Accent 2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79">
    <w:name w:val="Grid Table 5 Dark - Accent 3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80">
    <w:name w:val="Grid Table 5 Dark- Accent 4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81">
    <w:name w:val="Grid Table 5 Dark - Accent 5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82">
    <w:name w:val="Grid Table 5 Dark - Accent 6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83">
    <w:name w:val="Grid Table 6 Colorful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84">
    <w:name w:val="Grid Table 6 Colorful - Accent 1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85">
    <w:name w:val="Grid Table 6 Colorful - Accent 2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86">
    <w:name w:val="Grid Table 6 Colorful - Accent 3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87">
    <w:name w:val="Grid Table 6 Colorful - Accent 4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88">
    <w:name w:val="Grid Table 6 Colorful - Accent 5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9">
    <w:name w:val="Grid Table 6 Colorful - Accent 6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0">
    <w:name w:val="Grid Table 7 Colorful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7 Colorful - Accent 1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7 Colorful - Accent 2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7 Colorful - Accent 3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7 Colorful - Accent 4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7 Colorful - Accent 5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7 Colorful - Accent 6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List Table 1 Light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List Table 1 Light - Accent 1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List Table 1 Light - Accent 2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List Table 1 Light - Accent 3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List Table 1 Light - Accent 4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List Table 1 Light - Accent 5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List Table 1 Light - Accent 6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List Table 2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05">
    <w:name w:val="List Table 2 - Accent 1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06">
    <w:name w:val="List Table 2 - Accent 2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07">
    <w:name w:val="List Table 2 - Accent 3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08">
    <w:name w:val="List Table 2 - Accent 4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09">
    <w:name w:val="List Table 2 - Accent 5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10">
    <w:name w:val="List Table 2 - Accent 6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11">
    <w:name w:val="List Table 3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3 - Accent 1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3 - Accent 2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List Table 3 - Accent 3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List Table 3 - Accent 4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List Table 3 - Accent 5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List Table 3 - Accent 6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List Table 4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List Table 4 - Accent 1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List Table 4 - Accent 2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List Table 4 - Accent 3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List Table 4 - Accent 4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List Table 4 - Accent 5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List Table 4 - Accent 6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List Table 5 Dark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6">
    <w:name w:val="List Table 5 Dark - Accent 1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7">
    <w:name w:val="List Table 5 Dark - Accent 2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8">
    <w:name w:val="List Table 5 Dark - Accent 3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9">
    <w:name w:val="List Table 5 Dark - Accent 4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0">
    <w:name w:val="List Table 5 Dark - Accent 5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1">
    <w:name w:val="List Table 5 Dark - Accent 6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2">
    <w:name w:val="List Table 6 Colorful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33">
    <w:name w:val="List Table 6 Colorful - Accent 1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34">
    <w:name w:val="List Table 6 Colorful - Accent 2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35">
    <w:name w:val="List Table 6 Colorful - Accent 3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36">
    <w:name w:val="List Table 6 Colorful - Accent 4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37">
    <w:name w:val="List Table 6 Colorful - Accent 5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38">
    <w:name w:val="List Table 6 Colorful - Accent 6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39">
    <w:name w:val="List Table 7 Colorful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40">
    <w:name w:val="List Table 7 Colorful - Accent 1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41">
    <w:name w:val="List Table 7 Colorful - Accent 2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42">
    <w:name w:val="List Table 7 Colorful - Accent 3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43">
    <w:name w:val="List Table 7 Colorful - Accent 4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44">
    <w:name w:val="List Table 7 Colorful - Accent 5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45">
    <w:name w:val="List Table 7 Colorful - Accent 6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46">
    <w:name w:val="Lined - Accent"/>
    <w:basedOn w:val="8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7">
    <w:name w:val="Lined - Accent 1"/>
    <w:basedOn w:val="8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8">
    <w:name w:val="Lined - Accent 2"/>
    <w:basedOn w:val="8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9">
    <w:name w:val="Lined - Accent 3"/>
    <w:basedOn w:val="8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50">
    <w:name w:val="Lined - Accent 4"/>
    <w:basedOn w:val="8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51">
    <w:name w:val="Lined - Accent 5"/>
    <w:basedOn w:val="8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52">
    <w:name w:val="Lined - Accent 6"/>
    <w:basedOn w:val="8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53">
    <w:name w:val="Bordered &amp; Lined - Accent"/>
    <w:basedOn w:val="8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4">
    <w:name w:val="Bordered &amp; Lined - Accent 1"/>
    <w:basedOn w:val="8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55">
    <w:name w:val="Bordered &amp; Lined - Accent 2"/>
    <w:basedOn w:val="8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56">
    <w:name w:val="Bordered &amp; Lined - Accent 3"/>
    <w:basedOn w:val="8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57">
    <w:name w:val="Bordered &amp; Lined - Accent 4"/>
    <w:basedOn w:val="8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58">
    <w:name w:val="Bordered &amp; Lined - Accent 5"/>
    <w:basedOn w:val="8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59">
    <w:name w:val="Bordered &amp; Lined - Accent 6"/>
    <w:basedOn w:val="8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60">
    <w:name w:val="Bordered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61">
    <w:name w:val="Bordered - Accent 1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62">
    <w:name w:val="Bordered - Accent 2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63">
    <w:name w:val="Bordered - Accent 3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64">
    <w:name w:val="Bordered - Accent 4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65">
    <w:name w:val="Bordered - Accent 5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66">
    <w:name w:val="Bordered - Accent 6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67">
    <w:name w:val="footnote text"/>
    <w:basedOn w:val="884"/>
    <w:link w:val="868"/>
    <w:uiPriority w:val="99"/>
    <w:semiHidden/>
    <w:unhideWhenUsed/>
    <w:pPr>
      <w:spacing w:after="40" w:line="240" w:lineRule="auto"/>
    </w:pPr>
    <w:rPr>
      <w:sz w:val="18"/>
    </w:rPr>
  </w:style>
  <w:style w:type="character" w:styleId="868">
    <w:name w:val="Footnote Text Char"/>
    <w:link w:val="867"/>
    <w:uiPriority w:val="99"/>
    <w:rPr>
      <w:sz w:val="18"/>
    </w:rPr>
  </w:style>
  <w:style w:type="character" w:styleId="869">
    <w:name w:val="footnote reference"/>
    <w:basedOn w:val="886"/>
    <w:uiPriority w:val="99"/>
    <w:unhideWhenUsed/>
    <w:rPr>
      <w:vertAlign w:val="superscript"/>
    </w:rPr>
  </w:style>
  <w:style w:type="paragraph" w:styleId="870">
    <w:name w:val="endnote text"/>
    <w:basedOn w:val="884"/>
    <w:link w:val="871"/>
    <w:uiPriority w:val="99"/>
    <w:semiHidden/>
    <w:unhideWhenUsed/>
    <w:pPr>
      <w:spacing w:after="0" w:line="240" w:lineRule="auto"/>
    </w:pPr>
    <w:rPr>
      <w:sz w:val="20"/>
    </w:rPr>
  </w:style>
  <w:style w:type="character" w:styleId="871">
    <w:name w:val="Endnote Text Char"/>
    <w:link w:val="870"/>
    <w:uiPriority w:val="99"/>
    <w:rPr>
      <w:sz w:val="20"/>
    </w:rPr>
  </w:style>
  <w:style w:type="character" w:styleId="872">
    <w:name w:val="endnote reference"/>
    <w:basedOn w:val="886"/>
    <w:uiPriority w:val="99"/>
    <w:semiHidden/>
    <w:unhideWhenUsed/>
    <w:rPr>
      <w:vertAlign w:val="superscript"/>
    </w:rPr>
  </w:style>
  <w:style w:type="paragraph" w:styleId="873">
    <w:name w:val="toc 1"/>
    <w:basedOn w:val="884"/>
    <w:next w:val="884"/>
    <w:uiPriority w:val="39"/>
    <w:unhideWhenUsed/>
    <w:pPr>
      <w:ind w:left="0" w:right="0" w:firstLine="0"/>
      <w:spacing w:after="57"/>
    </w:pPr>
  </w:style>
  <w:style w:type="paragraph" w:styleId="874">
    <w:name w:val="toc 2"/>
    <w:basedOn w:val="884"/>
    <w:next w:val="884"/>
    <w:uiPriority w:val="39"/>
    <w:unhideWhenUsed/>
    <w:pPr>
      <w:ind w:left="283" w:right="0" w:firstLine="0"/>
      <w:spacing w:after="57"/>
    </w:pPr>
  </w:style>
  <w:style w:type="paragraph" w:styleId="875">
    <w:name w:val="toc 3"/>
    <w:basedOn w:val="884"/>
    <w:next w:val="884"/>
    <w:uiPriority w:val="39"/>
    <w:unhideWhenUsed/>
    <w:pPr>
      <w:ind w:left="567" w:right="0" w:firstLine="0"/>
      <w:spacing w:after="57"/>
    </w:pPr>
  </w:style>
  <w:style w:type="paragraph" w:styleId="876">
    <w:name w:val="toc 4"/>
    <w:basedOn w:val="884"/>
    <w:next w:val="884"/>
    <w:uiPriority w:val="39"/>
    <w:unhideWhenUsed/>
    <w:pPr>
      <w:ind w:left="850" w:right="0" w:firstLine="0"/>
      <w:spacing w:after="57"/>
    </w:pPr>
  </w:style>
  <w:style w:type="paragraph" w:styleId="877">
    <w:name w:val="toc 5"/>
    <w:basedOn w:val="884"/>
    <w:next w:val="884"/>
    <w:uiPriority w:val="39"/>
    <w:unhideWhenUsed/>
    <w:pPr>
      <w:ind w:left="1134" w:right="0" w:firstLine="0"/>
      <w:spacing w:after="57"/>
    </w:pPr>
  </w:style>
  <w:style w:type="paragraph" w:styleId="878">
    <w:name w:val="toc 6"/>
    <w:basedOn w:val="884"/>
    <w:next w:val="884"/>
    <w:uiPriority w:val="39"/>
    <w:unhideWhenUsed/>
    <w:pPr>
      <w:ind w:left="1417" w:right="0" w:firstLine="0"/>
      <w:spacing w:after="57"/>
    </w:pPr>
  </w:style>
  <w:style w:type="paragraph" w:styleId="879">
    <w:name w:val="toc 7"/>
    <w:basedOn w:val="884"/>
    <w:next w:val="884"/>
    <w:uiPriority w:val="39"/>
    <w:unhideWhenUsed/>
    <w:pPr>
      <w:ind w:left="1701" w:right="0" w:firstLine="0"/>
      <w:spacing w:after="57"/>
    </w:pPr>
  </w:style>
  <w:style w:type="paragraph" w:styleId="880">
    <w:name w:val="toc 8"/>
    <w:basedOn w:val="884"/>
    <w:next w:val="884"/>
    <w:uiPriority w:val="39"/>
    <w:unhideWhenUsed/>
    <w:pPr>
      <w:ind w:left="1984" w:right="0" w:firstLine="0"/>
      <w:spacing w:after="57"/>
    </w:pPr>
  </w:style>
  <w:style w:type="paragraph" w:styleId="881">
    <w:name w:val="toc 9"/>
    <w:basedOn w:val="884"/>
    <w:next w:val="884"/>
    <w:uiPriority w:val="39"/>
    <w:unhideWhenUsed/>
    <w:pPr>
      <w:ind w:left="2268" w:right="0" w:firstLine="0"/>
      <w:spacing w:after="57"/>
    </w:pPr>
  </w:style>
  <w:style w:type="paragraph" w:styleId="882">
    <w:name w:val="TOC Heading"/>
    <w:uiPriority w:val="39"/>
    <w:unhideWhenUsed/>
  </w:style>
  <w:style w:type="paragraph" w:styleId="883">
    <w:name w:val="table of figures"/>
    <w:basedOn w:val="884"/>
    <w:next w:val="884"/>
    <w:uiPriority w:val="99"/>
    <w:unhideWhenUsed/>
    <w:pPr>
      <w:spacing w:after="0" w:afterAutospacing="0"/>
    </w:pPr>
  </w:style>
  <w:style w:type="paragraph" w:styleId="884" w:default="1">
    <w:name w:val="Normal"/>
    <w:qFormat/>
    <w:rPr>
      <w:sz w:val="24"/>
      <w:szCs w:val="24"/>
    </w:rPr>
  </w:style>
  <w:style w:type="paragraph" w:styleId="885">
    <w:name w:val="Heading 1"/>
    <w:next w:val="884"/>
    <w:link w:val="907"/>
    <w:qFormat/>
    <w:pPr>
      <w:spacing w:after="160" w:line="240" w:lineRule="exact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</w:pPr>
    <w:rPr>
      <w:rFonts w:ascii="Verdana" w:hAnsi="Verdana" w:eastAsia="Arial Unicode MS" w:cs="Arial Unicode MS"/>
      <w:color w:val="000000"/>
      <w:sz w:val="20"/>
      <w:szCs w:val="20"/>
      <w:lang w:val="en-US"/>
    </w:rPr>
  </w:style>
  <w:style w:type="character" w:styleId="886" w:default="1">
    <w:name w:val="Default Paragraph Font"/>
    <w:uiPriority w:val="1"/>
    <w:semiHidden/>
    <w:unhideWhenUsed/>
  </w:style>
  <w:style w:type="table" w:styleId="88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88" w:default="1">
    <w:name w:val="No List"/>
    <w:uiPriority w:val="99"/>
    <w:semiHidden/>
    <w:unhideWhenUsed/>
  </w:style>
  <w:style w:type="table" w:styleId="889">
    <w:name w:val="Table Grid"/>
    <w:basedOn w:val="887"/>
    <w:uiPriority w:val="99"/>
    <w:rPr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90" w:customStyle="1">
    <w:name w:val="Char Знак Знак Char Знак Знак Знак Знак Знак Знак Знак Знак Знак Знак Знак Знак Знак Знак Знак Знак"/>
    <w:basedOn w:val="884"/>
    <w:uiPriority w:val="99"/>
    <w:rPr>
      <w:rFonts w:ascii="Verdana" w:hAnsi="Verdana" w:cs="Verdana"/>
      <w:sz w:val="20"/>
      <w:szCs w:val="20"/>
      <w:lang w:val="en-US" w:eastAsia="en-US"/>
    </w:rPr>
  </w:style>
  <w:style w:type="paragraph" w:styleId="891" w:customStyle="1">
    <w:name w:val="Знак Знак Знак Знак Знак Знак Знак Знак Знак Знак Знак Знак Знак"/>
    <w:basedOn w:val="884"/>
    <w:uiPriority w:val="99"/>
    <w:pPr>
      <w:ind w:left="1069" w:hanging="360"/>
      <w:jc w:val="both"/>
      <w:spacing w:after="160" w:line="240" w:lineRule="exact"/>
      <w:tabs>
        <w:tab w:val="num" w:pos="1069" w:leader="none"/>
      </w:tabs>
    </w:pPr>
    <w:rPr>
      <w:rFonts w:ascii="Verdana" w:hAnsi="Verdana" w:cs="Arial"/>
      <w:sz w:val="20"/>
      <w:szCs w:val="20"/>
      <w:lang w:val="en-US" w:eastAsia="en-US"/>
    </w:rPr>
  </w:style>
  <w:style w:type="paragraph" w:styleId="892" w:customStyle="1">
    <w:name w:val="1 Знак"/>
    <w:basedOn w:val="884"/>
    <w:uiPriority w:val="99"/>
    <w:pPr>
      <w:ind w:left="1069" w:hanging="360"/>
      <w:jc w:val="both"/>
      <w:spacing w:after="160" w:line="240" w:lineRule="exact"/>
      <w:tabs>
        <w:tab w:val="num" w:pos="1069" w:leader="none"/>
      </w:tabs>
    </w:pPr>
    <w:rPr>
      <w:rFonts w:ascii="Verdana" w:hAnsi="Verdana" w:cs="Arial"/>
      <w:sz w:val="20"/>
      <w:szCs w:val="20"/>
      <w:lang w:val="en-US" w:eastAsia="en-US"/>
    </w:rPr>
  </w:style>
  <w:style w:type="paragraph" w:styleId="893">
    <w:name w:val="Balloon Text"/>
    <w:basedOn w:val="884"/>
    <w:link w:val="894"/>
    <w:uiPriority w:val="99"/>
    <w:semiHidden/>
    <w:rPr>
      <w:rFonts w:ascii="Tahoma" w:hAnsi="Tahoma" w:cs="Tahoma"/>
      <w:sz w:val="16"/>
      <w:szCs w:val="16"/>
    </w:rPr>
  </w:style>
  <w:style w:type="character" w:styleId="894" w:customStyle="1">
    <w:name w:val="Текст выноски Знак"/>
    <w:basedOn w:val="886"/>
    <w:link w:val="893"/>
    <w:uiPriority w:val="99"/>
    <w:semiHidden/>
    <w:rPr>
      <w:rFonts w:cs="Times New Roman"/>
      <w:sz w:val="2"/>
    </w:rPr>
  </w:style>
  <w:style w:type="character" w:styleId="895">
    <w:name w:val="Strong"/>
    <w:basedOn w:val="886"/>
    <w:uiPriority w:val="99"/>
    <w:qFormat/>
    <w:rPr>
      <w:rFonts w:cs="Times New Roman"/>
      <w:b/>
    </w:rPr>
  </w:style>
  <w:style w:type="paragraph" w:styleId="896" w:customStyle="1">
    <w:name w:val="headertext"/>
    <w:uiPriority w:val="99"/>
    <w:pPr>
      <w:widowControl w:val="off"/>
    </w:pPr>
    <w:rPr>
      <w:rFonts w:ascii="Arial" w:hAnsi="Arial" w:cs="Arial"/>
      <w:b/>
      <w:bCs/>
    </w:rPr>
  </w:style>
  <w:style w:type="paragraph" w:styleId="897">
    <w:name w:val="List"/>
    <w:basedOn w:val="884"/>
    <w:uiPriority w:val="99"/>
    <w:pPr>
      <w:ind w:left="283" w:hanging="283"/>
    </w:pPr>
  </w:style>
  <w:style w:type="paragraph" w:styleId="898">
    <w:name w:val="Body Text 2"/>
    <w:basedOn w:val="884"/>
    <w:link w:val="899"/>
    <w:uiPriority w:val="99"/>
    <w:pPr>
      <w:jc w:val="both"/>
    </w:pPr>
  </w:style>
  <w:style w:type="character" w:styleId="899" w:customStyle="1">
    <w:name w:val="Основной текст 2 Знак"/>
    <w:basedOn w:val="886"/>
    <w:link w:val="898"/>
    <w:uiPriority w:val="99"/>
    <w:semiHidden/>
    <w:rPr>
      <w:rFonts w:cs="Times New Roman"/>
      <w:sz w:val="24"/>
      <w:szCs w:val="24"/>
    </w:rPr>
  </w:style>
  <w:style w:type="paragraph" w:styleId="900" w:customStyle="1">
    <w:name w:val="Знак Знак Знак Знак"/>
    <w:basedOn w:val="884"/>
    <w:uiPriority w:val="99"/>
    <w:pPr>
      <w:jc w:val="right"/>
      <w:spacing w:after="160" w:line="240" w:lineRule="exact"/>
      <w:widowControl w:val="off"/>
    </w:pPr>
    <w:rPr>
      <w:rFonts w:ascii="Arial" w:hAnsi="Arial" w:cs="Arial"/>
      <w:sz w:val="20"/>
      <w:szCs w:val="20"/>
      <w:lang w:val="en-GB" w:eastAsia="en-US"/>
    </w:rPr>
  </w:style>
  <w:style w:type="paragraph" w:styleId="901" w:customStyle="1">
    <w:name w:val="Ариал"/>
    <w:basedOn w:val="884"/>
    <w:pPr>
      <w:ind w:firstLine="851"/>
      <w:jc w:val="both"/>
      <w:spacing w:before="120" w:after="120" w:line="360" w:lineRule="auto"/>
    </w:pPr>
    <w:rPr>
      <w:rFonts w:ascii="Arial" w:hAnsi="Arial" w:cs="Arial"/>
    </w:rPr>
  </w:style>
  <w:style w:type="paragraph" w:styleId="902">
    <w:name w:val="List Paragraph"/>
    <w:basedOn w:val="884"/>
    <w:link w:val="904"/>
    <w:qFormat/>
    <w:pPr>
      <w:contextualSpacing/>
      <w:ind w:left="720"/>
    </w:pPr>
  </w:style>
  <w:style w:type="paragraph" w:styleId="903">
    <w:name w:val="No Spacing"/>
    <w:uiPriority w:val="1"/>
    <w:qFormat/>
    <w:rPr>
      <w:rFonts w:ascii="Calibri" w:hAnsi="Calibri"/>
    </w:rPr>
  </w:style>
  <w:style w:type="character" w:styleId="904" w:customStyle="1">
    <w:name w:val="Абзац списка Знак"/>
    <w:link w:val="902"/>
    <w:uiPriority w:val="34"/>
    <w:qFormat/>
    <w:rPr>
      <w:sz w:val="24"/>
      <w:szCs w:val="24"/>
    </w:rPr>
  </w:style>
  <w:style w:type="paragraph" w:styleId="905">
    <w:name w:val="Normal (Web)"/>
    <w:basedOn w:val="884"/>
    <w:uiPriority w:val="99"/>
    <w:unhideWhenUsed/>
    <w:pPr>
      <w:spacing w:before="100" w:beforeAutospacing="1" w:after="100" w:afterAutospacing="1"/>
    </w:pPr>
  </w:style>
  <w:style w:type="character" w:styleId="906">
    <w:name w:val="Hyperlink"/>
    <w:uiPriority w:val="99"/>
    <w:rPr>
      <w:rFonts w:cs="Times New Roman"/>
      <w:color w:val="0000ff"/>
      <w:u w:val="single"/>
    </w:rPr>
  </w:style>
  <w:style w:type="character" w:styleId="907" w:customStyle="1">
    <w:name w:val="Заголовок 1 Знак"/>
    <w:basedOn w:val="886"/>
    <w:link w:val="885"/>
    <w:rPr>
      <w:rFonts w:ascii="Verdana" w:hAnsi="Verdana" w:eastAsia="Arial Unicode MS" w:cs="Arial Unicode MS"/>
      <w:color w:val="000000"/>
      <w:sz w:val="20"/>
      <w:szCs w:val="20"/>
      <w:lang w:val="en-US"/>
    </w:rPr>
  </w:style>
  <w:style w:type="character" w:styleId="908" w:customStyle="1">
    <w:name w:val="Неразрешенное упоминание1"/>
    <w:basedOn w:val="886"/>
    <w:uiPriority w:val="99"/>
    <w:semiHidden/>
    <w:unhideWhenUsed/>
    <w:rPr>
      <w:color w:val="605e5c"/>
      <w:shd w:val="clear" w:color="auto" w:fill="e1dfdd"/>
    </w:rPr>
  </w:style>
  <w:style w:type="paragraph" w:styleId="909" w:customStyle="1">
    <w:name w:val="Стиль1"/>
    <w:basedOn w:val="884"/>
    <w:pPr>
      <w:numPr>
        <w:ilvl w:val="0"/>
        <w:numId w:val="24"/>
      </w:numPr>
      <w:keepLines/>
      <w:keepNext/>
      <w:spacing w:after="60"/>
      <w:widowControl w:val="off"/>
      <w:suppressLineNumbers/>
    </w:pPr>
    <w:rPr>
      <w:b/>
      <w:bCs/>
      <w:sz w:val="28"/>
      <w:szCs w:val="28"/>
    </w:rPr>
  </w:style>
  <w:style w:type="paragraph" w:styleId="910" w:customStyle="1">
    <w:name w:val="Стиль3"/>
    <w:basedOn w:val="912"/>
    <w:pPr>
      <w:numPr>
        <w:ilvl w:val="2"/>
        <w:numId w:val="24"/>
      </w:numPr>
      <w:ind w:left="2160" w:hanging="180"/>
      <w:jc w:val="both"/>
      <w:spacing w:after="0" w:line="240" w:lineRule="auto"/>
      <w:widowControl w:val="off"/>
      <w:tabs>
        <w:tab w:val="clear" w:pos="1307" w:leader="none"/>
        <w:tab w:val="num" w:pos="2160" w:leader="none"/>
      </w:tabs>
    </w:pPr>
  </w:style>
  <w:style w:type="paragraph" w:styleId="911" w:customStyle="1">
    <w:name w:val="Пункт"/>
    <w:basedOn w:val="884"/>
    <w:pPr>
      <w:ind w:left="1134" w:hanging="1134"/>
      <w:jc w:val="both"/>
      <w:spacing w:line="360" w:lineRule="auto"/>
      <w:tabs>
        <w:tab w:val="num" w:pos="1134" w:leader="none"/>
      </w:tabs>
    </w:pPr>
    <w:rPr>
      <w:sz w:val="28"/>
      <w:szCs w:val="20"/>
    </w:rPr>
  </w:style>
  <w:style w:type="paragraph" w:styleId="912">
    <w:name w:val="Body Text Indent 2"/>
    <w:basedOn w:val="884"/>
    <w:link w:val="913"/>
    <w:uiPriority w:val="99"/>
    <w:semiHidden/>
    <w:unhideWhenUsed/>
    <w:pPr>
      <w:ind w:left="283"/>
      <w:spacing w:after="120" w:line="480" w:lineRule="auto"/>
    </w:pPr>
  </w:style>
  <w:style w:type="character" w:styleId="913" w:customStyle="1">
    <w:name w:val="Основной текст с отступом 2 Знак"/>
    <w:basedOn w:val="886"/>
    <w:link w:val="912"/>
    <w:uiPriority w:val="99"/>
    <w:semiHidden/>
    <w:rPr>
      <w:sz w:val="24"/>
      <w:szCs w:val="24"/>
    </w:rPr>
  </w:style>
  <w:style w:type="paragraph" w:styleId="914" w:customStyle="1">
    <w:name w:val="ConsPlusNormal"/>
    <w:pPr>
      <w:ind w:firstLine="720"/>
      <w:widowControl w:val="off"/>
    </w:pPr>
    <w:rPr>
      <w:rFonts w:ascii="Arial" w:hAnsi="Arial" w:cs="Arial"/>
      <w:sz w:val="20"/>
      <w:szCs w:val="20"/>
    </w:rPr>
  </w:style>
  <w:style w:type="character" w:styleId="915">
    <w:name w:val="annotation reference"/>
    <w:basedOn w:val="886"/>
    <w:uiPriority w:val="99"/>
    <w:semiHidden/>
    <w:unhideWhenUsed/>
    <w:rPr>
      <w:sz w:val="16"/>
      <w:szCs w:val="16"/>
    </w:rPr>
  </w:style>
  <w:style w:type="paragraph" w:styleId="916">
    <w:name w:val="annotation text"/>
    <w:basedOn w:val="884"/>
    <w:link w:val="917"/>
    <w:uiPriority w:val="99"/>
    <w:semiHidden/>
    <w:unhideWhenUsed/>
    <w:rPr>
      <w:sz w:val="20"/>
      <w:szCs w:val="20"/>
    </w:rPr>
  </w:style>
  <w:style w:type="character" w:styleId="917" w:customStyle="1">
    <w:name w:val="Текст примечания Знак"/>
    <w:basedOn w:val="886"/>
    <w:link w:val="916"/>
    <w:uiPriority w:val="99"/>
    <w:semiHidden/>
    <w:rPr>
      <w:sz w:val="20"/>
      <w:szCs w:val="20"/>
    </w:rPr>
  </w:style>
  <w:style w:type="paragraph" w:styleId="918">
    <w:name w:val="annotation subject"/>
    <w:basedOn w:val="916"/>
    <w:next w:val="916"/>
    <w:link w:val="919"/>
    <w:uiPriority w:val="99"/>
    <w:semiHidden/>
    <w:unhideWhenUsed/>
    <w:rPr>
      <w:b/>
      <w:bCs/>
    </w:rPr>
  </w:style>
  <w:style w:type="character" w:styleId="919" w:customStyle="1">
    <w:name w:val="Тема примечания Знак"/>
    <w:basedOn w:val="917"/>
    <w:link w:val="918"/>
    <w:uiPriority w:val="99"/>
    <w:semiHidden/>
    <w:rPr>
      <w:b/>
      <w:bCs/>
      <w:sz w:val="20"/>
      <w:szCs w:val="20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E85269-C574-4D1D-BAE7-D7A979C40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ТЕХНИЧЕСКОЕ ЗАДАНИЕ</dc:title>
  <dc:creator>Бубнов</dc:creator>
  <cp:lastModifiedBy>kizilova-lval</cp:lastModifiedBy>
  <cp:revision>18</cp:revision>
  <dcterms:created xsi:type="dcterms:W3CDTF">2024-02-26T08:36:00Z</dcterms:created>
  <dcterms:modified xsi:type="dcterms:W3CDTF">2026-05-13T10:49:23Z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